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6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jc w:val="both"/>
        <w:rPr>
          <w:rFonts w:ascii="Times New Roman" w:cs="Times New Roman" w:eastAsia="Times New Roman" w:hAnsi="Times New Roman"/>
          <w:b w:val="1"/>
          <w:sz w:val="24"/>
          <w:szCs w:val="24"/>
          <w:highlight w:val="white"/>
        </w:rPr>
      </w:pPr>
      <w:bookmarkStart w:colFirst="0" w:colLast="0" w:name="_mrbmrz7mer4u" w:id="0"/>
      <w:bookmarkEnd w:id="0"/>
      <w:r w:rsidDel="00000000" w:rsidR="00000000" w:rsidRPr="00000000">
        <w:rPr>
          <w:rFonts w:ascii="Times New Roman" w:cs="Times New Roman" w:eastAsia="Times New Roman" w:hAnsi="Times New Roman"/>
          <w:b w:val="1"/>
          <w:sz w:val="24"/>
          <w:szCs w:val="24"/>
          <w:highlight w:val="white"/>
          <w:rtl w:val="0"/>
        </w:rPr>
        <w:t xml:space="preserve">Mẫu 01/TNDN: Bảng kê thu mua hàng hóa, dịch vụ mua vào không có hóa đơn Mẫu 01/TNDN Ban hành kèm theo Thông tư số 78/2014/TT-BTC ngày 18/6/2014 của Bộ Tài chính.</w:t>
      </w:r>
    </w:p>
    <w:p w:rsidR="00000000" w:rsidDel="00000000" w:rsidP="00000000" w:rsidRDefault="00000000" w:rsidRPr="00000000" w14:paraId="00000003">
      <w:pPr>
        <w:shd w:fill="ffffff" w:val="clear"/>
        <w:spacing w:line="36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shd w:fill="ffffff" w:val="clear"/>
        <w:spacing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BẢNG KÊ THU MUA HÀNG HÓA, DỊCH VỤ</w:t>
      </w:r>
    </w:p>
    <w:p w:rsidR="00000000" w:rsidDel="00000000" w:rsidP="00000000" w:rsidRDefault="00000000" w:rsidRPr="00000000" w14:paraId="00000005">
      <w:pPr>
        <w:shd w:fill="ffffff" w:val="clear"/>
        <w:spacing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MUA VÀO KHÔNG CÓ HÓA ĐƠN</w:t>
      </w:r>
    </w:p>
    <w:p w:rsidR="00000000" w:rsidDel="00000000" w:rsidP="00000000" w:rsidRDefault="00000000" w:rsidRPr="00000000" w14:paraId="00000006">
      <w:pPr>
        <w:shd w:fill="ffffff" w:val="clear"/>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(Ngày ……. tháng …… năm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tbl>
      <w:tblPr>
        <w:tblStyle w:val="Table1"/>
        <w:tblW w:w="8490.0" w:type="dxa"/>
        <w:jc w:val="left"/>
        <w:tblBorders>
          <w:top w:color="808080" w:space="0" w:sz="7" w:val="single"/>
          <w:left w:color="808080" w:space="0" w:sz="7" w:val="single"/>
          <w:bottom w:color="808080" w:space="0" w:sz="7" w:val="single"/>
          <w:right w:color="808080" w:space="0" w:sz="7" w:val="single"/>
          <w:insideH w:color="808080" w:space="0" w:sz="7" w:val="single"/>
          <w:insideV w:color="808080" w:space="0" w:sz="7" w:val="single"/>
        </w:tblBorders>
        <w:tblLayout w:type="fixed"/>
        <w:tblLook w:val="0600"/>
      </w:tblPr>
      <w:tblGrid>
        <w:gridCol w:w="6003.080046403712"/>
        <w:gridCol w:w="2486.919953596288"/>
        <w:tblGridChange w:id="0">
          <w:tblGrid>
            <w:gridCol w:w="6003.080046403712"/>
            <w:gridCol w:w="2486.919953596288"/>
          </w:tblGrid>
        </w:tblGridChange>
      </w:tblGrid>
      <w:tr>
        <w:trPr>
          <w:cantSplit w:val="0"/>
          <w:trHeight w:val="515" w:hRule="atLeast"/>
          <w:tblHeader w:val="0"/>
        </w:trPr>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08">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Tên doanh nghiệp: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09">
            <w:pPr>
              <w:spacing w:line="360" w:lineRule="auto"/>
              <w:jc w:val="both"/>
              <w:rPr>
                <w:sz w:val="18"/>
                <w:szCs w:val="18"/>
                <w:highlight w:val="white"/>
              </w:rPr>
            </w:pPr>
            <w:r w:rsidDel="00000000" w:rsidR="00000000" w:rsidRPr="00000000">
              <w:rPr>
                <w:rFonts w:ascii="Times New Roman" w:cs="Times New Roman" w:eastAsia="Times New Roman" w:hAnsi="Times New Roman"/>
                <w:b w:val="1"/>
                <w:sz w:val="24"/>
                <w:szCs w:val="24"/>
                <w:highlight w:val="white"/>
                <w:rtl w:val="0"/>
              </w:rPr>
              <w:t xml:space="preserve">Mã số thuế:</w:t>
            </w:r>
            <w:r w:rsidDel="00000000" w:rsidR="00000000" w:rsidRPr="00000000">
              <w:rPr>
                <w:rtl w:val="0"/>
              </w:rPr>
            </w:r>
          </w:p>
        </w:tc>
      </w:tr>
    </w:tbl>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Địa chỉ: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Địa chỉ nơi tổ chức thu mua:.............................................................</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Người phụ trách thu mua: ...........................................................</w:t>
      </w:r>
    </w:p>
    <w:p w:rsidR="00000000" w:rsidDel="00000000" w:rsidP="00000000" w:rsidRDefault="00000000" w:rsidRPr="00000000" w14:paraId="0000000D">
      <w:pPr>
        <w:spacing w:line="360" w:lineRule="auto"/>
        <w:jc w:val="both"/>
        <w:rPr>
          <w:sz w:val="30"/>
          <w:szCs w:val="30"/>
          <w:highlight w:val="white"/>
        </w:rPr>
      </w:pPr>
      <w:r w:rsidDel="00000000" w:rsidR="00000000" w:rsidRPr="00000000">
        <w:rPr>
          <w:rtl w:val="0"/>
        </w:rPr>
      </w:r>
    </w:p>
    <w:tbl>
      <w:tblPr>
        <w:tblStyle w:val="Table2"/>
        <w:tblW w:w="8490.0" w:type="dxa"/>
        <w:jc w:val="left"/>
        <w:tblBorders>
          <w:top w:color="808080" w:space="0" w:sz="7" w:val="single"/>
          <w:left w:color="808080" w:space="0" w:sz="7" w:val="single"/>
          <w:bottom w:color="808080" w:space="0" w:sz="7" w:val="single"/>
          <w:right w:color="808080" w:space="0" w:sz="7" w:val="single"/>
          <w:insideH w:color="808080" w:space="0" w:sz="7" w:val="single"/>
          <w:insideV w:color="808080" w:space="0" w:sz="7" w:val="single"/>
        </w:tblBorders>
        <w:tblLayout w:type="fixed"/>
        <w:tblLook w:val="0600"/>
      </w:tblPr>
      <w:tblGrid>
        <w:gridCol w:w="1071.8413173652693"/>
        <w:gridCol w:w="1097.2604790419161"/>
        <w:gridCol w:w="792.2305389221556"/>
        <w:gridCol w:w="944.7455089820359"/>
        <w:gridCol w:w="919.3263473053892"/>
        <w:gridCol w:w="957.4550898203593"/>
        <w:gridCol w:w="817.6497005988024"/>
        <w:gridCol w:w="1046.4221556886228"/>
        <w:gridCol w:w="843.0688622754491"/>
        <w:tblGridChange w:id="0">
          <w:tblGrid>
            <w:gridCol w:w="1071.8413173652693"/>
            <w:gridCol w:w="1097.2604790419161"/>
            <w:gridCol w:w="792.2305389221556"/>
            <w:gridCol w:w="944.7455089820359"/>
            <w:gridCol w:w="919.3263473053892"/>
            <w:gridCol w:w="957.4550898203593"/>
            <w:gridCol w:w="817.6497005988024"/>
            <w:gridCol w:w="1046.4221556886228"/>
            <w:gridCol w:w="843.0688622754491"/>
          </w:tblGrid>
        </w:tblGridChange>
      </w:tblGrid>
      <w:tr>
        <w:trPr>
          <w:cantSplit w:val="0"/>
          <w:trHeight w:val="800" w:hRule="atLeast"/>
          <w:tblHeader w:val="0"/>
        </w:trPr>
        <w:tc>
          <w:tcPr>
            <w:vMerge w:val="restart"/>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sz w:val="18"/>
                <w:szCs w:val="18"/>
                <w:highlight w:val="white"/>
              </w:rPr>
            </w:pPr>
            <w:r w:rsidDel="00000000" w:rsidR="00000000" w:rsidRPr="00000000">
              <w:rPr>
                <w:rFonts w:ascii="Times New Roman" w:cs="Times New Roman" w:eastAsia="Times New Roman" w:hAnsi="Times New Roman"/>
                <w:b w:val="1"/>
                <w:sz w:val="24"/>
                <w:szCs w:val="24"/>
                <w:highlight w:val="white"/>
                <w:rtl w:val="0"/>
              </w:rPr>
              <w:t xml:space="preserve">Ngày tháng năm mua hàng</w:t>
            </w:r>
            <w:r w:rsidDel="00000000" w:rsidR="00000000" w:rsidRPr="00000000">
              <w:rPr>
                <w:rtl w:val="0"/>
              </w:rPr>
            </w:r>
          </w:p>
        </w:tc>
        <w:tc>
          <w:tcPr>
            <w:gridSpan w:val="3"/>
            <w:tcBorders>
              <w:top w:color="808080" w:space="0" w:sz="7" w:val="single"/>
              <w:left w:color="808080" w:space="0" w:sz="7" w:val="single"/>
              <w:bottom w:color="808080" w:space="0" w:sz="7" w:val="single"/>
              <w:right w:color="808080" w:space="0" w:sz="7" w:val="single"/>
            </w:tcBorders>
            <w:tcMar>
              <w:top w:w="100.0" w:type="dxa"/>
              <w:left w:w="100.0" w:type="dxa"/>
              <w:bottom w:w="100.0" w:type="dxa"/>
              <w:right w:w="100.0" w:type="dxa"/>
            </w:tcMar>
            <w:vAlign w:val="top"/>
          </w:tcPr>
          <w:p w:rsidR="00000000" w:rsidDel="00000000" w:rsidP="00000000" w:rsidRDefault="00000000" w:rsidRPr="00000000" w14:paraId="0000000F">
            <w:pPr>
              <w:spacing w:line="360" w:lineRule="auto"/>
              <w:jc w:val="center"/>
              <w:rPr>
                <w:sz w:val="18"/>
                <w:szCs w:val="18"/>
                <w:highlight w:val="white"/>
              </w:rPr>
            </w:pPr>
            <w:r w:rsidDel="00000000" w:rsidR="00000000" w:rsidRPr="00000000">
              <w:rPr>
                <w:rFonts w:ascii="Times New Roman" w:cs="Times New Roman" w:eastAsia="Times New Roman" w:hAnsi="Times New Roman"/>
                <w:b w:val="1"/>
                <w:sz w:val="24"/>
                <w:szCs w:val="24"/>
                <w:highlight w:val="white"/>
                <w:rtl w:val="0"/>
              </w:rPr>
              <w:t xml:space="preserve">Người bán</w:t>
            </w:r>
            <w:r w:rsidDel="00000000" w:rsidR="00000000" w:rsidRPr="00000000">
              <w:rPr>
                <w:rtl w:val="0"/>
              </w:rPr>
            </w:r>
          </w:p>
        </w:tc>
        <w:tc>
          <w:tcPr>
            <w:gridSpan w:val="4"/>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360" w:lineRule="auto"/>
              <w:jc w:val="center"/>
              <w:rPr>
                <w:sz w:val="18"/>
                <w:szCs w:val="18"/>
                <w:highlight w:val="white"/>
              </w:rPr>
            </w:pPr>
            <w:r w:rsidDel="00000000" w:rsidR="00000000" w:rsidRPr="00000000">
              <w:rPr>
                <w:rFonts w:ascii="Times New Roman" w:cs="Times New Roman" w:eastAsia="Times New Roman" w:hAnsi="Times New Roman"/>
                <w:b w:val="1"/>
                <w:sz w:val="24"/>
                <w:szCs w:val="24"/>
                <w:highlight w:val="white"/>
                <w:rtl w:val="0"/>
              </w:rPr>
              <w:t xml:space="preserve">Hàng hóa mua vào</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line="360" w:lineRule="auto"/>
              <w:jc w:val="center"/>
              <w:rPr>
                <w:sz w:val="18"/>
                <w:szCs w:val="18"/>
                <w:highlight w:val="white"/>
              </w:rPr>
            </w:pPr>
            <w:r w:rsidDel="00000000" w:rsidR="00000000" w:rsidRPr="00000000">
              <w:rPr>
                <w:rFonts w:ascii="Times New Roman" w:cs="Times New Roman" w:eastAsia="Times New Roman" w:hAnsi="Times New Roman"/>
                <w:b w:val="1"/>
                <w:sz w:val="24"/>
                <w:szCs w:val="24"/>
                <w:highlight w:val="white"/>
                <w:rtl w:val="0"/>
              </w:rPr>
              <w:t xml:space="preserve">Ghi chú</w:t>
            </w:r>
            <w:r w:rsidDel="00000000" w:rsidR="00000000" w:rsidRPr="00000000">
              <w:rPr>
                <w:rtl w:val="0"/>
              </w:rPr>
            </w:r>
          </w:p>
        </w:tc>
      </w:tr>
      <w:tr>
        <w:trPr>
          <w:cantSplit w:val="0"/>
          <w:trHeight w:val="1085" w:hRule="atLeast"/>
          <w:tblHeader w:val="0"/>
        </w:trPr>
        <w:tc>
          <w:tcPr>
            <w:vMerge w:val="continue"/>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spacing w:line="360" w:lineRule="auto"/>
              <w:jc w:val="both"/>
              <w:rPr>
                <w:sz w:val="18"/>
                <w:szCs w:val="18"/>
                <w:highlight w:val="white"/>
              </w:rPr>
            </w:pP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Tên người bán</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Địa chỉ</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Số CMT nhân dân</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Tên mặt hàng</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Số lượng</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Đơn giá</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Tổng giá thanh toán</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r>
      <w:tr>
        <w:trPr>
          <w:cantSplit w:val="0"/>
          <w:trHeight w:val="515"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3</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4</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5</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6</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7</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8</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9</w:t>
            </w:r>
            <w:r w:rsidDel="00000000" w:rsidR="00000000" w:rsidRPr="00000000">
              <w:rPr>
                <w:rtl w:val="0"/>
              </w:rPr>
            </w:r>
          </w:p>
        </w:tc>
      </w:tr>
      <w:tr>
        <w:trPr>
          <w:cantSplit w:val="0"/>
          <w:trHeight w:val="515"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r>
      <w:tr>
        <w:trPr>
          <w:cantSplit w:val="0"/>
          <w:trHeight w:val="515"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line="360" w:lineRule="auto"/>
              <w:jc w:val="both"/>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r>
    </w:tbl>
    <w:p w:rsidR="00000000" w:rsidDel="00000000" w:rsidP="00000000" w:rsidRDefault="00000000" w:rsidRPr="00000000" w14:paraId="0000003B">
      <w:pPr>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Tổng giá trị hàng hóa mua vào: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tbl>
      <w:tblPr>
        <w:tblStyle w:val="Table3"/>
        <w:tblW w:w="8490.0" w:type="dxa"/>
        <w:jc w:val="left"/>
        <w:tblBorders>
          <w:top w:color="808080" w:space="0" w:sz="7" w:val="single"/>
          <w:left w:color="808080" w:space="0" w:sz="7" w:val="single"/>
          <w:bottom w:color="808080" w:space="0" w:sz="7" w:val="single"/>
          <w:right w:color="808080" w:space="0" w:sz="7" w:val="single"/>
          <w:insideH w:color="808080" w:space="0" w:sz="7" w:val="single"/>
          <w:insideV w:color="808080" w:space="0" w:sz="7" w:val="single"/>
        </w:tblBorders>
        <w:tblLayout w:type="fixed"/>
        <w:tblLook w:val="0600"/>
      </w:tblPr>
      <w:tblGrid>
        <w:gridCol w:w="4245"/>
        <w:gridCol w:w="4245"/>
        <w:tblGridChange w:id="0">
          <w:tblGrid>
            <w:gridCol w:w="4245"/>
            <w:gridCol w:w="4245"/>
          </w:tblGrid>
        </w:tblGridChange>
      </w:tblGrid>
      <w:tr>
        <w:trPr>
          <w:cantSplit w:val="0"/>
          <w:trHeight w:val="1085" w:hRule="atLeast"/>
          <w:tblHeader w:val="0"/>
        </w:trPr>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Người lập bảng kê</w:t>
            </w:r>
          </w:p>
          <w:p w:rsidR="00000000" w:rsidDel="00000000" w:rsidP="00000000" w:rsidRDefault="00000000" w:rsidRPr="00000000" w14:paraId="0000003F">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(Ký, ghi rõ họ tên)</w:t>
            </w:r>
            <w:r w:rsidDel="00000000" w:rsidR="00000000" w:rsidRPr="00000000">
              <w:rPr>
                <w:rtl w:val="0"/>
              </w:rPr>
            </w:r>
          </w:p>
        </w:tc>
        <w:tc>
          <w:tcPr>
            <w:tcBorders>
              <w:top w:color="808080" w:space="0" w:sz="7" w:val="single"/>
              <w:left w:color="808080" w:space="0" w:sz="7" w:val="single"/>
              <w:bottom w:color="808080" w:space="0" w:sz="7" w:val="single"/>
              <w:right w:color="80808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360" w:lineRule="auto"/>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Ngày …. tháng …. năm 201..</w:t>
            </w:r>
          </w:p>
          <w:p w:rsidR="00000000" w:rsidDel="00000000" w:rsidP="00000000" w:rsidRDefault="00000000" w:rsidRPr="00000000" w14:paraId="00000041">
            <w:pPr>
              <w:spacing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Giám đốc doanh nghiệp</w:t>
            </w:r>
          </w:p>
          <w:p w:rsidR="00000000" w:rsidDel="00000000" w:rsidP="00000000" w:rsidRDefault="00000000" w:rsidRPr="00000000" w14:paraId="00000042">
            <w:pPr>
              <w:spacing w:line="360" w:lineRule="auto"/>
              <w:jc w:val="center"/>
              <w:rPr>
                <w:sz w:val="18"/>
                <w:szCs w:val="18"/>
                <w:highlight w:val="white"/>
              </w:rPr>
            </w:pPr>
            <w:r w:rsidDel="00000000" w:rsidR="00000000" w:rsidRPr="00000000">
              <w:rPr>
                <w:rFonts w:ascii="Times New Roman" w:cs="Times New Roman" w:eastAsia="Times New Roman" w:hAnsi="Times New Roman"/>
                <w:sz w:val="24"/>
                <w:szCs w:val="24"/>
                <w:highlight w:val="white"/>
                <w:rtl w:val="0"/>
              </w:rPr>
              <w:t xml:space="preserve">(Ký tên, đóng dấu)</w:t>
            </w:r>
            <w:r w:rsidDel="00000000" w:rsidR="00000000" w:rsidRPr="00000000">
              <w:rPr>
                <w:rtl w:val="0"/>
              </w:rPr>
            </w:r>
          </w:p>
        </w:tc>
      </w:tr>
    </w:tbl>
    <w:p w:rsidR="00000000" w:rsidDel="00000000" w:rsidP="00000000" w:rsidRDefault="00000000" w:rsidRPr="00000000" w14:paraId="00000043">
      <w:pPr>
        <w:spacing w:line="360" w:lineRule="auto"/>
        <w:jc w:val="both"/>
        <w:rPr>
          <w:sz w:val="18"/>
          <w:szCs w:val="18"/>
          <w:highlight w:val="white"/>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Ghi chú:</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Căn cứ vào số thực tế các mặt hàng trên mà đơn vị mua của người bán không có hóa đơn, lập bảng kê khai theo thứ tự thời gian mua hàng, doanh nghiệp ghi đầy đủ các chỉ tiêu trên bảng kê, tổng hợp bảng kê hàng tháng. Hàng hóa mua vào lập theo bảng kê này được căn cứ vào chứng từ mua bán giữa người bán và người mua lập trong đó ghi rõ số lượng, giá trị các mặt hàng mua, ngày, tháng mua, địa chỉ, số CMTND của người bán và ký nhận của bên bán và bên mua.</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Đối với doanh nghiệp có tổ chức các trạm nơi thu mua ở nhiều nơi thì từng trạm thu mua phải lập từng bảng kê riêng. Doanh nghiệp lập bảng kê tổng hợp chung của các trạm.</w:t>
      </w:r>
    </w:p>
    <w:p w:rsidR="00000000" w:rsidDel="00000000" w:rsidP="00000000" w:rsidRDefault="00000000" w:rsidRPr="00000000" w14:paraId="00000048">
      <w:pPr>
        <w:spacing w:line="360" w:lineRule="auto"/>
        <w:jc w:val="both"/>
        <w:rPr>
          <w:sz w:val="34"/>
          <w:szCs w:val="3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